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03" w:rsidRDefault="00D05B0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D05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5B03" w:rsidRDefault="00E86C6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TOMADA DE PREÇO nº 002/2013</w:t>
      </w:r>
    </w:p>
    <w:p w:rsidR="00D05B03" w:rsidRDefault="00E86C6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002/2013</w:t>
      </w:r>
    </w:p>
    <w:p w:rsidR="00D05B03" w:rsidRDefault="00D05B0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D05B0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O Instituto de Desenvolvimento Sustentável Mamirauá – IDSM/OS, entidade privada, supervisionada pelo Ministério da Ciência, Tecnologia e </w:t>
      </w:r>
      <w:r>
        <w:rPr>
          <w:rFonts w:ascii="Arial" w:hAnsi="Arial" w:cs="Arial"/>
          <w:sz w:val="24"/>
          <w:szCs w:val="24"/>
        </w:rPr>
        <w:t xml:space="preserve">Inovação – MCTI, por intermédio de sua Comissão de Licitação, torna público que no dia 08 de maio de 2013, às 15h30, na Sede deste Instituto, situada à Estrada </w:t>
      </w:r>
      <w:proofErr w:type="gramStart"/>
      <w:r>
        <w:rPr>
          <w:rFonts w:ascii="Arial" w:hAnsi="Arial" w:cs="Arial"/>
          <w:sz w:val="24"/>
          <w:szCs w:val="24"/>
        </w:rPr>
        <w:t>do Bexiga</w:t>
      </w:r>
      <w:proofErr w:type="gramEnd"/>
      <w:r>
        <w:rPr>
          <w:rFonts w:ascii="Arial" w:hAnsi="Arial" w:cs="Arial"/>
          <w:sz w:val="24"/>
          <w:szCs w:val="24"/>
        </w:rPr>
        <w:t xml:space="preserve">, nº 2584, Tefé/AM, realizará Licitação na modalidade </w:t>
      </w:r>
      <w:r>
        <w:rPr>
          <w:rFonts w:ascii="Arial" w:hAnsi="Arial" w:cs="Arial"/>
          <w:b/>
          <w:bCs/>
          <w:sz w:val="24"/>
          <w:szCs w:val="24"/>
        </w:rPr>
        <w:t xml:space="preserve">TOMADA DE PREÇO GLOBAL </w:t>
      </w:r>
      <w:r>
        <w:rPr>
          <w:rFonts w:ascii="Arial" w:hAnsi="Arial" w:cs="Arial"/>
          <w:sz w:val="24"/>
          <w:szCs w:val="24"/>
        </w:rPr>
        <w:t>com vistas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iCs/>
          <w:sz w:val="24"/>
          <w:szCs w:val="24"/>
        </w:rPr>
        <w:t>AQUISIÇÃO DE UM GRUPO GERADOR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INCLUINDO A INSTALAÇÃO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conforme cláusulas, condições, especificações e recomendações constantes deste </w:t>
      </w:r>
      <w:proofErr w:type="gramStart"/>
      <w:r>
        <w:rPr>
          <w:rFonts w:ascii="Arial" w:hAnsi="Arial" w:cs="Arial"/>
          <w:sz w:val="24"/>
          <w:szCs w:val="24"/>
        </w:rPr>
        <w:t>Edital, observadas</w:t>
      </w:r>
      <w:proofErr w:type="gramEnd"/>
      <w:r>
        <w:rPr>
          <w:rFonts w:ascii="Arial" w:hAnsi="Arial" w:cs="Arial"/>
          <w:sz w:val="24"/>
          <w:szCs w:val="24"/>
        </w:rPr>
        <w:t xml:space="preserve"> as normas gerais estabelecidas pela Lei 8.666, de 21 de junho de 1993, alterações.</w:t>
      </w:r>
    </w:p>
    <w:p w:rsidR="00D05B03" w:rsidRDefault="00D05B0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OBJETO</w:t>
      </w:r>
    </w:p>
    <w:p w:rsidR="00D05B03" w:rsidRDefault="00E86C67">
      <w:p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1.1 -</w:t>
      </w:r>
      <w:r>
        <w:rPr>
          <w:rFonts w:ascii="Arial" w:hAnsi="Arial" w:cs="Arial"/>
          <w:sz w:val="24"/>
          <w:szCs w:val="24"/>
        </w:rPr>
        <w:t xml:space="preserve"> A presente licitação tem como objeto a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AQUISIÇÃO DE UM GRUPO </w:t>
      </w: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GERADOR ,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 xml:space="preserve"> LINHA DIESEL, COM POTÊNCIA DE 260 KVA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INCLUINDO A INSTALAÇÃO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especificações constantes no Anexo I deste Edital.</w:t>
      </w:r>
    </w:p>
    <w:p w:rsidR="00D05B03" w:rsidRDefault="00D05B0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 – DOTAÇÃO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ORÇAMENTÁRIA</w:t>
      </w:r>
    </w:p>
    <w:p w:rsidR="00D05B03" w:rsidRDefault="00E86C67">
      <w:p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color w:val="000000"/>
          <w:sz w:val="24"/>
          <w:szCs w:val="24"/>
        </w:rPr>
        <w:t>As despesas decorrentes do obje</w:t>
      </w:r>
      <w:r>
        <w:rPr>
          <w:rFonts w:ascii="Arial" w:hAnsi="Arial" w:cs="Arial"/>
          <w:color w:val="000000"/>
          <w:sz w:val="24"/>
          <w:szCs w:val="24"/>
        </w:rPr>
        <w:t>to desta licitação correrão por conta de recursos oriundos de convênios firmados pelo Instituto de Desenvolvimento Sustentável Mamirauá – IDSM/OS.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– CONDIÇÕES DE PARTICIPAÇÃO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Somente poderão participar da licitação as empresas que satisfaçam as </w:t>
      </w:r>
      <w:r>
        <w:rPr>
          <w:rFonts w:ascii="Arial" w:hAnsi="Arial" w:cs="Arial"/>
          <w:sz w:val="24"/>
          <w:szCs w:val="24"/>
        </w:rPr>
        <w:t xml:space="preserve">seguintes condições: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Empresas nacionais legalmente habilitadas na forma da legislação vigente.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 É vedada a participação de empresas em regime de recuperação extrajudicial, recuperação judicial ou com pedido de falência requerido, concurso de</w:t>
      </w:r>
      <w:r>
        <w:rPr>
          <w:rFonts w:ascii="Arial" w:hAnsi="Arial" w:cs="Arial"/>
          <w:sz w:val="24"/>
          <w:szCs w:val="24"/>
        </w:rPr>
        <w:t xml:space="preserve"> credores, processo de insolvência, dissolução ou liquidação.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3.1.3. É vedada a participação de empresas sob a forma de cooperativas.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 Estará impedida de participar da licitação a empresa </w:t>
      </w:r>
      <w:r>
        <w:rPr>
          <w:rFonts w:ascii="Arial" w:hAnsi="Arial" w:cs="Arial"/>
          <w:sz w:val="24"/>
          <w:szCs w:val="24"/>
        </w:rPr>
        <w:tab/>
        <w:t>que entre seus dirigentes, gerentes, sócios, haja alguém qu</w:t>
      </w:r>
      <w:r>
        <w:rPr>
          <w:rFonts w:ascii="Arial" w:hAnsi="Arial" w:cs="Arial"/>
          <w:sz w:val="24"/>
          <w:szCs w:val="24"/>
        </w:rPr>
        <w:t xml:space="preserve">e seja diretor do IDSM ou que tenha sido nos últimos 180 (cento e oitenta) dias anteriores à data do ato convocatório.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 Estará vedada a participação de empresa que, por quaisquer motivos, tenha sido declarada inidônea por órgão da Administração Públ</w:t>
      </w:r>
      <w:r>
        <w:rPr>
          <w:rFonts w:ascii="Arial" w:hAnsi="Arial" w:cs="Arial"/>
          <w:sz w:val="24"/>
          <w:szCs w:val="24"/>
        </w:rPr>
        <w:t>ica, Direta ou Indireta, Federal, Estadual ou Municipal, punida por suspensão e com isso estando proibida de contratar com o poder público ou, ainda, que responda perante o IDSM, diretamente ou por seus dirigentes, a processo administrativo ou investigação</w:t>
      </w:r>
      <w:r>
        <w:rPr>
          <w:rFonts w:ascii="Arial" w:hAnsi="Arial" w:cs="Arial"/>
          <w:sz w:val="24"/>
          <w:szCs w:val="24"/>
        </w:rPr>
        <w:t xml:space="preserve"> interna que possa resultar na aplicação de punição.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3.2 - O licitante obriga-se a manter, durante toda a execução deste certame, em compatibilidade com as obrigações por ele assumidas, todas as condições especificadas em sua proposta;</w:t>
      </w:r>
    </w:p>
    <w:p w:rsidR="00D05B03" w:rsidRDefault="00E86C67">
      <w:pPr>
        <w:autoSpaceDE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3.3 - O Edital </w:t>
      </w:r>
      <w:r>
        <w:rPr>
          <w:rFonts w:ascii="Arial" w:hAnsi="Arial" w:cs="Arial"/>
          <w:sz w:val="24"/>
          <w:szCs w:val="24"/>
        </w:rPr>
        <w:t xml:space="preserve">poderá ser baixado </w:t>
      </w:r>
      <w:proofErr w:type="gramStart"/>
      <w:r>
        <w:rPr>
          <w:rFonts w:ascii="Arial" w:hAnsi="Arial" w:cs="Arial"/>
          <w:sz w:val="24"/>
          <w:szCs w:val="24"/>
        </w:rPr>
        <w:t>na Home</w:t>
      </w:r>
      <w:proofErr w:type="gramEnd"/>
      <w:r>
        <w:rPr>
          <w:rFonts w:ascii="Arial" w:hAnsi="Arial" w:cs="Arial"/>
          <w:sz w:val="24"/>
          <w:szCs w:val="24"/>
        </w:rPr>
        <w:t xml:space="preserve"> Page do IDSM (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WWW.mamiraua.org.br</w:t>
        </w:r>
      </w:hyperlink>
      <w:r>
        <w:rPr>
          <w:rFonts w:ascii="Arial" w:hAnsi="Arial" w:cs="Arial"/>
          <w:sz w:val="24"/>
          <w:szCs w:val="24"/>
        </w:rPr>
        <w:t xml:space="preserve">), ou poderá ser retirado na Sede do IDSM na </w:t>
      </w:r>
      <w:r>
        <w:rPr>
          <w:rFonts w:ascii="Arial" w:hAnsi="Arial" w:cs="Arial"/>
          <w:sz w:val="24"/>
          <w:szCs w:val="24"/>
        </w:rPr>
        <w:lastRenderedPageBreak/>
        <w:t>Coordenação de Compras, localizada a Estrada do Bexiga, nº 2584, Bairro Fonte Boa, Tefé/AM, entre os dias 2</w:t>
      </w:r>
      <w:r>
        <w:rPr>
          <w:rFonts w:ascii="Arial" w:hAnsi="Arial" w:cs="Arial"/>
          <w:sz w:val="24"/>
          <w:szCs w:val="24"/>
        </w:rPr>
        <w:t>3 de abril a 06 de maio  de 2013, das 9h00 às 11h30 e das 14h30 às 17h00 de segunda a sexta, horário local.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 – DOCUMENTAÇÃO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HABILITAÇÃO</w:t>
      </w:r>
    </w:p>
    <w:p w:rsidR="00D05B03" w:rsidRDefault="00E86C67">
      <w:pPr>
        <w:spacing w:after="0" w:line="240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4.1 – </w:t>
      </w:r>
      <w:r>
        <w:rPr>
          <w:rFonts w:ascii="Arial" w:hAnsi="Arial" w:cs="Arial"/>
          <w:b/>
          <w:sz w:val="24"/>
          <w:szCs w:val="24"/>
        </w:rPr>
        <w:t>Habilitação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Jurídica</w:t>
      </w:r>
    </w:p>
    <w:p w:rsidR="00D05B03" w:rsidRDefault="00E86C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Registro comercial, no caso de empresa individual;</w:t>
      </w:r>
    </w:p>
    <w:p w:rsidR="00D05B03" w:rsidRDefault="00E86C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Ato Constitutivo, Estatuto ou C</w:t>
      </w:r>
      <w:r>
        <w:rPr>
          <w:rFonts w:ascii="Arial" w:hAnsi="Arial" w:cs="Arial"/>
          <w:sz w:val="24"/>
          <w:szCs w:val="24"/>
        </w:rPr>
        <w:t>ontrato Social em vigor, devidamente registrado, em se tratando de Sociedades Limitadas, e no caso de Sociedades por ações, acompanhados de documentos de eleição de seus administradores;</w:t>
      </w:r>
    </w:p>
    <w:p w:rsidR="00D05B03" w:rsidRDefault="00E86C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Em se tratando de Sociedades Civis, inscrição do ato constitutivo </w:t>
      </w:r>
      <w:r>
        <w:rPr>
          <w:rFonts w:ascii="Arial" w:hAnsi="Arial" w:cs="Arial"/>
          <w:sz w:val="24"/>
          <w:szCs w:val="24"/>
        </w:rPr>
        <w:t>acompanhado da prova da Diretoria;</w:t>
      </w:r>
    </w:p>
    <w:p w:rsidR="00D05B03" w:rsidRDefault="00E86C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No caso de Empresa ou Sociedade Estrangeira em funcionamento no país, decreto de autorização e ato de registro ou autorização de funcionamento expedido pelo órgão competente, quando a atividade assim o exigir.</w:t>
      </w:r>
    </w:p>
    <w:p w:rsidR="00D05B03" w:rsidRDefault="00D05B0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4.2 – 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egularidade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Fiscal</w:t>
      </w:r>
    </w:p>
    <w:p w:rsidR="00D05B03" w:rsidRDefault="00E86C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Prova de Inscrição no CNPJ, no Cadastro de Contribuinte Estadual e Contribuinte Municipal, relativo ao domicílio ou sede da licitante, pertinente ao seu ramo de atividades e compatível com o objeto da licitação;</w:t>
      </w:r>
    </w:p>
    <w:p w:rsidR="00D05B03" w:rsidRDefault="00E86C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Prova de Regularida</w:t>
      </w:r>
      <w:r>
        <w:rPr>
          <w:rFonts w:ascii="Arial" w:hAnsi="Arial" w:cs="Arial"/>
          <w:sz w:val="24"/>
          <w:szCs w:val="24"/>
        </w:rPr>
        <w:t>de para com a Fazenda Federal, Estadual e Municipal (ISS) do domicílio ou sede da licitante;</w:t>
      </w:r>
    </w:p>
    <w:p w:rsidR="00D05B03" w:rsidRDefault="00E86C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Prova de Regularidade relativa à Seguridade Social (CND) e ao Fundo de Garantia por Tempo de Serviços (FGTS).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4.3 – </w:t>
      </w:r>
      <w:r>
        <w:rPr>
          <w:rFonts w:ascii="Arial" w:hAnsi="Arial" w:cs="Arial"/>
          <w:b/>
          <w:sz w:val="24"/>
          <w:szCs w:val="24"/>
        </w:rPr>
        <w:t>Qualificação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Técnica</w:t>
      </w:r>
    </w:p>
    <w:p w:rsidR="00D05B03" w:rsidRDefault="00E86C67">
      <w:pPr>
        <w:spacing w:after="0" w:line="240" w:lineRule="auto"/>
        <w:ind w:left="708"/>
        <w:jc w:val="both"/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b/>
          <w:sz w:val="24"/>
        </w:rPr>
        <w:t xml:space="preserve"> Atestado </w:t>
      </w:r>
      <w:r>
        <w:rPr>
          <w:rFonts w:ascii="Arial" w:hAnsi="Arial" w:cs="Arial"/>
          <w:sz w:val="24"/>
        </w:rPr>
        <w:t xml:space="preserve">emitido </w:t>
      </w:r>
      <w:r>
        <w:rPr>
          <w:rFonts w:ascii="Arial" w:hAnsi="Arial" w:cs="Arial"/>
          <w:sz w:val="24"/>
        </w:rPr>
        <w:t>por pessoa jurídica de direito público ou privado, autenticado e registrado no CREA, comprovando a aptidão de atividade anterior, compatível com o objeto da presente licitação, contendo as seguintes informações: Nome da contratante, contratada e natureza d</w:t>
      </w:r>
      <w:r>
        <w:rPr>
          <w:rFonts w:ascii="Arial" w:hAnsi="Arial" w:cs="Arial"/>
          <w:sz w:val="24"/>
        </w:rPr>
        <w:t>o contrato (Fornecimento), serviços executados (Instalação);</w:t>
      </w:r>
    </w:p>
    <w:p w:rsidR="00D05B03" w:rsidRDefault="00E86C67">
      <w:pPr>
        <w:spacing w:after="0" w:line="240" w:lineRule="auto"/>
        <w:ind w:left="708"/>
        <w:jc w:val="both"/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Registro ou inscrição na entidade profissional competente:</w:t>
      </w:r>
      <w:r>
        <w:rPr>
          <w:rFonts w:ascii="Arial" w:hAnsi="Arial" w:cs="Arial"/>
          <w:b/>
          <w:sz w:val="24"/>
        </w:rPr>
        <w:t xml:space="preserve"> CREA;</w:t>
      </w:r>
    </w:p>
    <w:p w:rsidR="00D05B03" w:rsidRDefault="00E86C67">
      <w:pPr>
        <w:spacing w:after="0" w:line="240" w:lineRule="auto"/>
        <w:ind w:left="708"/>
        <w:jc w:val="both"/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Atestado de Visita </w:t>
      </w:r>
      <w:r>
        <w:rPr>
          <w:rFonts w:ascii="Arial" w:hAnsi="Arial" w:cs="Arial"/>
          <w:color w:val="000000"/>
          <w:sz w:val="24"/>
          <w:szCs w:val="24"/>
        </w:rPr>
        <w:t xml:space="preserve">fornecido pelo IDSM, comprovando que o proponente compareceu ao local e conhece 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infra-estrutura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onde se</w:t>
      </w:r>
      <w:r>
        <w:rPr>
          <w:rFonts w:ascii="Arial" w:hAnsi="Arial" w:cs="Arial"/>
          <w:color w:val="000000"/>
          <w:sz w:val="24"/>
          <w:szCs w:val="24"/>
        </w:rPr>
        <w:t>rá instalado Gerador (Modelo Anexo II);</w:t>
      </w:r>
    </w:p>
    <w:p w:rsidR="00D05B03" w:rsidRDefault="00E86C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Declaração de que não há fato impeditivo de participação em licitações ou de contratar com qualquer órgão da Administração Pública direta e indireta.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4.4 – </w:t>
      </w:r>
      <w:r>
        <w:rPr>
          <w:rFonts w:ascii="Arial" w:hAnsi="Arial" w:cs="Arial"/>
          <w:b/>
          <w:sz w:val="24"/>
          <w:szCs w:val="24"/>
        </w:rPr>
        <w:t>Qualificação Econômica – Financeira</w:t>
      </w:r>
      <w:proofErr w:type="gramEnd"/>
    </w:p>
    <w:p w:rsidR="00D05B03" w:rsidRDefault="00E86C67">
      <w:pPr>
        <w:ind w:left="708" w:right="-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Certidão Negativa</w:t>
      </w:r>
      <w:r>
        <w:rPr>
          <w:rFonts w:ascii="Arial" w:hAnsi="Arial" w:cs="Arial"/>
          <w:color w:val="000000"/>
          <w:sz w:val="24"/>
          <w:szCs w:val="24"/>
        </w:rPr>
        <w:t xml:space="preserve"> de Falência e Concordata/Recuperação Judicial e Extrajudicial, expedida pelo cartório do distribuidor do estabelecimento principal (sede) da pessoa jurídica, com data de emissão não superior a 90 (noventa) dias da data limite para a sua apresentação.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 xml:space="preserve">5- Os documentos exigidos no </w:t>
      </w:r>
      <w:r>
        <w:rPr>
          <w:rFonts w:ascii="Arial" w:hAnsi="Arial" w:cs="Arial"/>
          <w:i/>
          <w:sz w:val="24"/>
          <w:szCs w:val="24"/>
        </w:rPr>
        <w:t>subitem 4.2</w:t>
      </w:r>
      <w:r>
        <w:rPr>
          <w:rFonts w:ascii="Arial" w:hAnsi="Arial" w:cs="Arial"/>
          <w:sz w:val="24"/>
          <w:szCs w:val="24"/>
        </w:rPr>
        <w:t xml:space="preserve"> poderão ser substituídos pelo SICAF, válido até a data da abertura dos envelopes.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4.6- Os documentos exigidos neste capítulo poderão ser apresentados por qualquer processo de cópia, desde que autenticadas por cartór</w:t>
      </w:r>
      <w:r>
        <w:rPr>
          <w:rFonts w:ascii="Arial" w:hAnsi="Arial" w:cs="Arial"/>
          <w:sz w:val="24"/>
          <w:szCs w:val="24"/>
        </w:rPr>
        <w:t>io ou na falta dessa autenticação, acompanhados dos originais, para comprovação da autenticidade pela Comissão de Licitação.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4.7- No caso de envio de documentação por e-mail, a documentação original ou em cópia autenticada deve ser digitalizada, sendo salv</w:t>
      </w:r>
      <w:r>
        <w:rPr>
          <w:rFonts w:ascii="Arial" w:hAnsi="Arial" w:cs="Arial"/>
          <w:sz w:val="24"/>
          <w:szCs w:val="24"/>
        </w:rPr>
        <w:t xml:space="preserve">a em arquivo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e transmitida ao e-mail da Comissão de Licitação, que poderá solicitar os documentos que originaram o arquivo enviado.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4.8- A licitante deverá ser representada perante a Comissão de Licitação por pessoa especialmente designada para esse f</w:t>
      </w:r>
      <w:r>
        <w:rPr>
          <w:rFonts w:ascii="Arial" w:hAnsi="Arial" w:cs="Arial"/>
          <w:sz w:val="24"/>
          <w:szCs w:val="24"/>
        </w:rPr>
        <w:t>im, comprovando através de documento de outorga assinado pelo representante legal da empresa licitante.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4.9- A documentação deverá ser apresentada com as folhas numeradas e na sequência solicitada no Edital.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4.10- Microempresa (ME) ou Empresa de Pequeno Po</w:t>
      </w:r>
      <w:r>
        <w:rPr>
          <w:rFonts w:ascii="Arial" w:hAnsi="Arial" w:cs="Arial"/>
          <w:sz w:val="24"/>
          <w:szCs w:val="24"/>
        </w:rPr>
        <w:t xml:space="preserve">rte (EPP) deverá apresentar toda a documentação relativa ao </w:t>
      </w:r>
      <w:r>
        <w:rPr>
          <w:rFonts w:ascii="Arial" w:hAnsi="Arial" w:cs="Arial"/>
          <w:i/>
          <w:sz w:val="24"/>
          <w:szCs w:val="24"/>
        </w:rPr>
        <w:t>subitem 4.2</w:t>
      </w:r>
      <w:r>
        <w:rPr>
          <w:rFonts w:ascii="Arial" w:hAnsi="Arial" w:cs="Arial"/>
          <w:sz w:val="24"/>
          <w:szCs w:val="24"/>
        </w:rPr>
        <w:t xml:space="preserve"> mesmo que apresente alguma restrição.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4.10.1- Havendo alguma restrição na comprovação da regularidade fiscal, será assegurado o prazo de até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(dois) dias úteis, cujo termo inicial </w:t>
      </w:r>
      <w:r>
        <w:rPr>
          <w:rFonts w:ascii="Arial" w:hAnsi="Arial" w:cs="Arial"/>
          <w:sz w:val="24"/>
          <w:szCs w:val="24"/>
        </w:rPr>
        <w:t>corresponderá ao momento em que a Licitante for declarada vencedora do certame, para a regularização da documentação;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4.10.2- A não regularização da documentação, no prazo previsto no subitem anterior, implicará decadência de direito à contratação, sem pre</w:t>
      </w:r>
      <w:r>
        <w:rPr>
          <w:rFonts w:ascii="Arial" w:hAnsi="Arial" w:cs="Arial"/>
          <w:sz w:val="24"/>
          <w:szCs w:val="24"/>
        </w:rPr>
        <w:t>juízo das demais sanções previstas no presente Edital.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4.11 - Na hipótese de não constar prazo de validade nas certidões apresentadas, a Administração aceitará como válidas as expedidas até 180 (cento e oitenta) dias imediatamente anteriores à data de apre</w:t>
      </w:r>
      <w:r>
        <w:rPr>
          <w:rFonts w:ascii="Arial" w:hAnsi="Arial" w:cs="Arial"/>
          <w:color w:val="000000"/>
          <w:sz w:val="24"/>
          <w:szCs w:val="24"/>
        </w:rPr>
        <w:t>sentação das propostas, exceto para a Certidão negativa de falência ou concordata onde é solicitado o prazo de 90 (noventa) dias.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– As licitantes poderão fazer Habilitação Prévia até as 11h30min do dia 06 de maio, junto a Coordenação de Co</w:t>
      </w:r>
      <w:r>
        <w:rPr>
          <w:rFonts w:ascii="Arial" w:hAnsi="Arial" w:cs="Arial"/>
          <w:sz w:val="24"/>
          <w:szCs w:val="24"/>
        </w:rPr>
        <w:t xml:space="preserve">mpras que emitirá o </w:t>
      </w:r>
      <w:r>
        <w:rPr>
          <w:rFonts w:ascii="Arial" w:hAnsi="Arial" w:cs="Arial"/>
          <w:b/>
          <w:sz w:val="24"/>
          <w:szCs w:val="24"/>
        </w:rPr>
        <w:t>Certificado de Registro Cadastral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CRC, </w:t>
      </w:r>
      <w:r>
        <w:rPr>
          <w:rFonts w:ascii="Arial" w:hAnsi="Arial" w:cs="Arial"/>
          <w:sz w:val="24"/>
          <w:szCs w:val="24"/>
        </w:rPr>
        <w:t xml:space="preserve">mediante a apresentação da documentação relacionada no </w:t>
      </w:r>
      <w:r>
        <w:rPr>
          <w:rFonts w:ascii="Arial" w:hAnsi="Arial" w:cs="Arial"/>
          <w:i/>
          <w:sz w:val="24"/>
          <w:szCs w:val="24"/>
        </w:rPr>
        <w:t xml:space="preserve">item </w:t>
      </w:r>
      <w:proofErr w:type="gramStart"/>
      <w:r>
        <w:rPr>
          <w:rFonts w:ascii="Arial" w:hAnsi="Arial" w:cs="Arial"/>
          <w:i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, deste edital. 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 – APRESENTAÇÃO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ENVELOPES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5.1 - Os envelopes contendo os documentos relativos à habilitação e as propostas come</w:t>
      </w:r>
      <w:r>
        <w:rPr>
          <w:rFonts w:ascii="Arial" w:hAnsi="Arial" w:cs="Arial"/>
          <w:sz w:val="24"/>
          <w:szCs w:val="24"/>
        </w:rPr>
        <w:t>rciais deverão ser entregues fechados, colados e rubricados pelo representante da licitante à Comissão de Licitação até às 14h30, do dia 08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maio de 2013, na sede do IDSM, no endereço supracitado. 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5.2- As propostas e documentos relativos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habilitação t</w:t>
      </w:r>
      <w:r>
        <w:rPr>
          <w:rFonts w:ascii="Arial" w:hAnsi="Arial" w:cs="Arial"/>
          <w:sz w:val="24"/>
          <w:szCs w:val="24"/>
        </w:rPr>
        <w:t xml:space="preserve">ambém poderão ser enviados via e-mail até às 14h30 do mesmo dia para o endereço eletrônico </w:t>
      </w:r>
      <w:hyperlink r:id="rId8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licitacoes@mamiraua.org.br</w:t>
        </w:r>
      </w:hyperlink>
      <w:r>
        <w:rPr>
          <w:rFonts w:ascii="Arial" w:hAnsi="Arial" w:cs="Arial"/>
          <w:sz w:val="24"/>
          <w:szCs w:val="24"/>
        </w:rPr>
        <w:t xml:space="preserve"> c/c </w:t>
      </w:r>
      <w:hyperlink r:id="rId9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compras@mamiraua.org.br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5.3 – Os </w:t>
      </w:r>
      <w:r>
        <w:rPr>
          <w:rFonts w:ascii="Arial" w:hAnsi="Arial" w:cs="Arial"/>
          <w:sz w:val="24"/>
          <w:szCs w:val="24"/>
        </w:rPr>
        <w:t xml:space="preserve">documentos de habilitação, conforme </w:t>
      </w:r>
      <w:r>
        <w:rPr>
          <w:rFonts w:ascii="Arial" w:hAnsi="Arial" w:cs="Arial"/>
          <w:i/>
          <w:sz w:val="24"/>
          <w:szCs w:val="24"/>
        </w:rPr>
        <w:t xml:space="preserve">item </w:t>
      </w:r>
      <w:proofErr w:type="gramStart"/>
      <w:r>
        <w:rPr>
          <w:rFonts w:ascii="Arial" w:hAnsi="Arial" w:cs="Arial"/>
          <w:i/>
          <w:sz w:val="24"/>
          <w:szCs w:val="24"/>
        </w:rPr>
        <w:t>4</w:t>
      </w:r>
      <w:proofErr w:type="gramEnd"/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poderão ser substituído pelo </w:t>
      </w:r>
      <w:r>
        <w:rPr>
          <w:rFonts w:ascii="Arial" w:hAnsi="Arial" w:cs="Arial"/>
          <w:b/>
          <w:sz w:val="24"/>
          <w:szCs w:val="24"/>
        </w:rPr>
        <w:t>CRC;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5.4 - Em suas partes externas e frontais os envelopes e o assunto do e-mail deverão conter os seguintes dizeres: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TOMADA DE PREÇO N.º 02/2013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ENVELOPE 1- Habilitação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(Razão </w:t>
      </w:r>
      <w:r>
        <w:rPr>
          <w:rFonts w:ascii="Arial" w:hAnsi="Arial" w:cs="Arial"/>
          <w:sz w:val="24"/>
          <w:szCs w:val="24"/>
        </w:rPr>
        <w:t>Social da Empresa)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TOMADA DE PREÇO N.º 02/2013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ENVELOPE 2 – Proposta Comercial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(Razão Social da Empresa)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5.5- O IDSM não se responsabilizará por falhas de conectividade durante o envio dos documentos de habilitação e com a proposta comercial via e–mail.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 – PROPOSTA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COMERCIAL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</w:rPr>
        <w:t>São requisitos da proposta de preços: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6.1- A Proposta Comercial deverá ser apresentada, em papel timbrado da empresa licitante, ou contendo o carimbo do CNPJ em todas as folhas, devidamente assinada, sem quaisquer emendas, rasuras </w:t>
      </w:r>
      <w:r>
        <w:rPr>
          <w:rFonts w:ascii="Arial" w:hAnsi="Arial" w:cs="Arial"/>
          <w:sz w:val="24"/>
          <w:szCs w:val="24"/>
        </w:rPr>
        <w:t>ou entrelinhas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6.2- Os valores constantes na Proposta Comercial deverão ser expressos em Reais, incluídas todas as despesas tais como: </w:t>
      </w:r>
      <w:proofErr w:type="spellStart"/>
      <w:r>
        <w:rPr>
          <w:rFonts w:ascii="Arial" w:hAnsi="Arial" w:cs="Arial"/>
          <w:sz w:val="24"/>
          <w:szCs w:val="24"/>
        </w:rPr>
        <w:t>mão-de-obra</w:t>
      </w:r>
      <w:proofErr w:type="spellEnd"/>
      <w:r>
        <w:rPr>
          <w:rFonts w:ascii="Arial" w:hAnsi="Arial" w:cs="Arial"/>
          <w:sz w:val="24"/>
          <w:szCs w:val="24"/>
        </w:rPr>
        <w:t xml:space="preserve"> com instalação, material necessário para instalação, taxas, impostos, frete, e outras que venham a incidir s</w:t>
      </w:r>
      <w:r>
        <w:rPr>
          <w:rFonts w:ascii="Arial" w:hAnsi="Arial" w:cs="Arial"/>
          <w:sz w:val="24"/>
          <w:szCs w:val="24"/>
        </w:rPr>
        <w:t xml:space="preserve">obre o objeto licitado, ficando esclarecido que o IDSM não admitirá qualquer alegação posterior que vise ao ressarcimento de custos não considerados nos preços.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6.3- Estar assinada pelo representante legal na última folha e rubricada em todas as folhas, p</w:t>
      </w:r>
      <w:r>
        <w:rPr>
          <w:rFonts w:ascii="Arial" w:hAnsi="Arial" w:cs="Arial"/>
          <w:sz w:val="24"/>
          <w:szCs w:val="24"/>
        </w:rPr>
        <w:t>referencialmente numeradas.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6.4 - Conter prazo de validade não inferior a 60 (sessenta) dias, contados a partir da data de abertura;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6.5 - Conter indicação de marca sob o qual o mesmo é comercializado e Fabricante;</w:t>
      </w:r>
    </w:p>
    <w:p w:rsidR="00D05B03" w:rsidRDefault="00E86C67">
      <w:pPr>
        <w:pStyle w:val="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6.5 1 - Anexar sempre que </w:t>
      </w:r>
      <w:proofErr w:type="gramStart"/>
      <w:r>
        <w:rPr>
          <w:rFonts w:ascii="Arial" w:hAnsi="Arial" w:cs="Arial"/>
        </w:rPr>
        <w:t>possível, folhe</w:t>
      </w:r>
      <w:r>
        <w:rPr>
          <w:rFonts w:ascii="Arial" w:hAnsi="Arial" w:cs="Arial"/>
        </w:rPr>
        <w:t>tos e literatura</w:t>
      </w:r>
      <w:proofErr w:type="gramEnd"/>
      <w:r>
        <w:rPr>
          <w:rFonts w:ascii="Arial" w:hAnsi="Arial" w:cs="Arial"/>
        </w:rPr>
        <w:t xml:space="preserve"> específica do produto ofertado;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6.6 - A licitante deverá apresentar, por escrito, Termo de Garantia para o equipamento ofertado, não inferior a 01 (um) ano, a contar da data de sua instalação, obrigando-se, independentemente de ser ou não </w:t>
      </w:r>
      <w:r>
        <w:rPr>
          <w:rFonts w:ascii="Arial" w:hAnsi="Arial" w:cs="Arial"/>
          <w:sz w:val="24"/>
        </w:rPr>
        <w:t>fabricante, a efetuar a qualquer tempo, substituição do equipamento que apresentar defeito de fabricação ou divergência com as especificações oferecidas, sem qualquer ônus ao IDSM;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6.7 - A licitante deverá declarar, por escrito, de que o equipamento oferta</w:t>
      </w:r>
      <w:r>
        <w:rPr>
          <w:rFonts w:ascii="Arial" w:hAnsi="Arial" w:cs="Arial"/>
          <w:sz w:val="24"/>
        </w:rPr>
        <w:t>do é novo, entendido como tal, de primeira utilização. A falta de declaração, não será motivo de desclassificação, mas pressupõe aceitação das condições estabelecidas;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6.8 - A proposta deverá obedecer rigorosamente as especificações constantes do Anexo I, </w:t>
      </w:r>
      <w:r>
        <w:rPr>
          <w:rFonts w:ascii="Arial" w:hAnsi="Arial" w:cs="Arial"/>
          <w:sz w:val="24"/>
        </w:rPr>
        <w:t xml:space="preserve">parte integrante deste Edital, </w:t>
      </w:r>
      <w:proofErr w:type="gramStart"/>
      <w:r>
        <w:rPr>
          <w:rFonts w:ascii="Arial" w:hAnsi="Arial" w:cs="Arial"/>
          <w:sz w:val="24"/>
        </w:rPr>
        <w:t>sob pena</w:t>
      </w:r>
      <w:proofErr w:type="gramEnd"/>
      <w:r>
        <w:rPr>
          <w:rFonts w:ascii="Arial" w:hAnsi="Arial" w:cs="Arial"/>
          <w:sz w:val="24"/>
        </w:rPr>
        <w:t xml:space="preserve"> de desclassificação do item em desacordo.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00FF00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 – CRITÉRIO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JULGAMENTO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7.1- No julgamento das Propostas Comerciais será adotado o critério de MENOR PREÇO GLOBAL.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7.2- No caso de empate, a classificação se dará por </w:t>
      </w:r>
      <w:r>
        <w:rPr>
          <w:rFonts w:ascii="Arial" w:hAnsi="Arial" w:cs="Arial"/>
          <w:sz w:val="24"/>
          <w:szCs w:val="24"/>
        </w:rPr>
        <w:t>sorteio, na presença dos representantes interessados.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7.3- Será vencedora a licitante que, cumpridas as exigências de habilitação, apresentar a Proposta de acordo com as especificações deste edital e ofertar o menor preço, baseado no valor de referência, c</w:t>
      </w:r>
      <w:r>
        <w:rPr>
          <w:rFonts w:ascii="Arial" w:hAnsi="Arial" w:cs="Arial"/>
          <w:sz w:val="24"/>
          <w:szCs w:val="24"/>
        </w:rPr>
        <w:t xml:space="preserve">onforme Anexo I.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7.4- Havendo participação de Microempresa ou Empresa de Pequeno Porte, serão observados os dispostos nos artigos 44 e 45 da Lei Complementar 123/2006.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7.5 - A Comissão de Licitação rejeitará as propostas que: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7.5.1 - Não estiverem devidam</w:t>
      </w:r>
      <w:r>
        <w:rPr>
          <w:rFonts w:ascii="Arial" w:hAnsi="Arial" w:cs="Arial"/>
          <w:sz w:val="24"/>
        </w:rPr>
        <w:t>ente assinadas, por seus representantes legais;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7.5.2 - Possuírem qualquer limitação</w:t>
      </w:r>
      <w:proofErr w:type="gramStart"/>
      <w:r>
        <w:rPr>
          <w:rFonts w:ascii="Arial" w:hAnsi="Arial" w:cs="Arial"/>
          <w:sz w:val="24"/>
        </w:rPr>
        <w:t>, reserva</w:t>
      </w:r>
      <w:proofErr w:type="gramEnd"/>
      <w:r>
        <w:rPr>
          <w:rFonts w:ascii="Arial" w:hAnsi="Arial" w:cs="Arial"/>
          <w:sz w:val="24"/>
        </w:rPr>
        <w:t xml:space="preserve"> ou condição contrastante com o presente edital;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</w:rPr>
        <w:t xml:space="preserve">7.5.3 - Deixarem de apresentar quaisquer documentos solicitados no </w:t>
      </w:r>
      <w:r>
        <w:rPr>
          <w:rFonts w:ascii="Arial" w:hAnsi="Arial" w:cs="Arial"/>
          <w:i/>
          <w:sz w:val="24"/>
          <w:szCs w:val="24"/>
        </w:rPr>
        <w:t xml:space="preserve">item </w:t>
      </w:r>
      <w:proofErr w:type="gramStart"/>
      <w:r>
        <w:rPr>
          <w:rFonts w:ascii="Arial" w:hAnsi="Arial" w:cs="Arial"/>
          <w:i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</w:rPr>
        <w:t xml:space="preserve"> ou fizerem de forma incompleta ou incorr</w:t>
      </w:r>
      <w:r>
        <w:rPr>
          <w:rFonts w:ascii="Arial" w:hAnsi="Arial" w:cs="Arial"/>
          <w:sz w:val="24"/>
        </w:rPr>
        <w:t>eta;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7.5.4 - Não atenderem às especificações mínimas dos produtos, exigidas neste edital.</w:t>
      </w:r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</w:rPr>
        <w:t>7.6 - A Comissão desclassificará as propostas que conflitarem com o presente edital e seus anexos, fará a classificação das demais por ordem crescente de preços, e de</w:t>
      </w:r>
      <w:r>
        <w:rPr>
          <w:rFonts w:ascii="Arial" w:hAnsi="Arial" w:cs="Arial"/>
          <w:sz w:val="24"/>
        </w:rPr>
        <w:t xml:space="preserve">clarará vencedora aquela que consignar </w:t>
      </w:r>
      <w:proofErr w:type="gramStart"/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b/>
          <w:sz w:val="24"/>
        </w:rPr>
        <w:t xml:space="preserve"> MENOR PREÇO GLOBAL,</w:t>
      </w:r>
      <w:r>
        <w:rPr>
          <w:rFonts w:ascii="Arial" w:hAnsi="Arial" w:cs="Arial"/>
          <w:sz w:val="24"/>
        </w:rPr>
        <w:t xml:space="preserve"> atendidas</w:t>
      </w:r>
      <w:proofErr w:type="gramEnd"/>
      <w:r>
        <w:rPr>
          <w:rFonts w:ascii="Arial" w:hAnsi="Arial" w:cs="Arial"/>
          <w:sz w:val="24"/>
        </w:rPr>
        <w:t xml:space="preserve"> as disposições do art. 48, II, da Lei n. 8.666/93 e alterações. Ocorrendo divergência entre o preço unitário e total, será considerado o preço unitário; e ocorrendo divergência entre o </w:t>
      </w:r>
      <w:r>
        <w:rPr>
          <w:rFonts w:ascii="Arial" w:hAnsi="Arial" w:cs="Arial"/>
          <w:sz w:val="24"/>
        </w:rPr>
        <w:t xml:space="preserve">valor expresso por extenso e em algarismo, será considerado o valor expresso por extenso.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7.6.1 - O critério de aceitabilidade dos preços será o de compatibilidade com os preços praticados no mercado, coerentes com a execução deste objeto.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00FF00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 – ADJUDICAÇÃ</w:t>
      </w:r>
      <w:r>
        <w:rPr>
          <w:rFonts w:ascii="Arial" w:hAnsi="Arial" w:cs="Arial"/>
          <w:b/>
          <w:sz w:val="24"/>
          <w:szCs w:val="24"/>
        </w:rPr>
        <w:t>O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8.1- </w:t>
      </w:r>
      <w:proofErr w:type="gramStart"/>
      <w:r>
        <w:rPr>
          <w:rFonts w:ascii="Arial" w:hAnsi="Arial" w:cs="Arial"/>
          <w:sz w:val="24"/>
          <w:szCs w:val="24"/>
        </w:rPr>
        <w:t>A adjudicação e homologação da presente licitação se dará</w:t>
      </w:r>
      <w:proofErr w:type="gramEnd"/>
      <w:r>
        <w:rPr>
          <w:rFonts w:ascii="Arial" w:hAnsi="Arial" w:cs="Arial"/>
          <w:sz w:val="24"/>
          <w:szCs w:val="24"/>
        </w:rPr>
        <w:t xml:space="preserve"> através de ato da Diretoria Administrativa do IDSM, após apresentação da Ata elaborada pela Comissão de Licitação.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8.2- Caso a licitante vencedora não comparecer para assinatura do Contrato, </w:t>
      </w:r>
      <w:r>
        <w:rPr>
          <w:rFonts w:ascii="Arial" w:hAnsi="Arial" w:cs="Arial"/>
          <w:sz w:val="24"/>
          <w:szCs w:val="24"/>
        </w:rPr>
        <w:t>sem prejuízo das sanções previstas na legislação, será imediatamente convocada a licitante classificada em segundo lugar, para executar o contrato nas mesmas condições propostas pela primeira licitante.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– INFORMAÇÕES, ESCLARECIMENTOS E </w:t>
      </w:r>
      <w:proofErr w:type="gramStart"/>
      <w:r>
        <w:rPr>
          <w:rFonts w:ascii="Arial" w:hAnsi="Arial" w:cs="Arial"/>
          <w:b/>
          <w:sz w:val="24"/>
          <w:szCs w:val="24"/>
        </w:rPr>
        <w:t>QUESTIONAMENTOS</w:t>
      </w:r>
      <w:proofErr w:type="gramEnd"/>
    </w:p>
    <w:p w:rsidR="00D05B03" w:rsidRDefault="00E86C6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9.1 - Esclarecimentos adicionais julgados necessários a propósito da presente licitação poderão ser obtidos, até 02 dias úteis antes da audiência de abertura 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licitação, desde que solicitados por escrito pelos e-mails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licitacoes@mamiraua.org.br</w:t>
        </w:r>
      </w:hyperlink>
      <w:r>
        <w:rPr>
          <w:rFonts w:ascii="Arial" w:hAnsi="Arial" w:cs="Arial"/>
          <w:sz w:val="24"/>
          <w:szCs w:val="24"/>
        </w:rPr>
        <w:t xml:space="preserve"> c/c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compras@mamiraua.org.br</w:t>
        </w:r>
      </w:hyperlink>
      <w:r>
        <w:rPr>
          <w:rFonts w:ascii="Arial" w:hAnsi="Arial" w:cs="Arial"/>
          <w:sz w:val="24"/>
          <w:szCs w:val="24"/>
        </w:rPr>
        <w:t>, ou entregues no endereço abaixo: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Desenvolvimento Sustentável Mamirauá – IDSM/OS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Compra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Estrada </w:t>
      </w:r>
      <w:proofErr w:type="gramStart"/>
      <w:r>
        <w:rPr>
          <w:rFonts w:ascii="Arial" w:hAnsi="Arial" w:cs="Arial"/>
          <w:sz w:val="24"/>
          <w:szCs w:val="24"/>
        </w:rPr>
        <w:t>do Bexiga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Nº 2584, Bairro Fonte Boa, CEP 69.470-000, Tefé/AM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Telefones: 97-3343-9718 / 9719/ 9703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10 – RECEBIMENTO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OBJETO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10.1- O recebimento do objeto será efetuado pela Coordenação de Compras do IDSM, quando serão verificadas as especificações e demais caracte</w:t>
      </w:r>
      <w:r>
        <w:rPr>
          <w:rFonts w:ascii="Arial" w:hAnsi="Arial" w:cs="Arial"/>
          <w:sz w:val="24"/>
          <w:szCs w:val="24"/>
        </w:rPr>
        <w:t>rísticas inerentes ao fornecimento, em consonância com o Termo de Referência.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10.2 - A entrega deverá ser efetuada em até 60 (sessenta) dias da expedição da assinatura do Contrato.</w:t>
      </w:r>
    </w:p>
    <w:p w:rsidR="00D05B03" w:rsidRDefault="00E86C6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10.3 - O objeto desta Licitação deverá estar devidamente embalado para tran</w:t>
      </w:r>
      <w:r>
        <w:rPr>
          <w:rFonts w:ascii="Arial" w:hAnsi="Arial" w:cs="Arial"/>
          <w:sz w:val="24"/>
          <w:szCs w:val="24"/>
        </w:rPr>
        <w:t>sporte, de forma a garantir a integridade do mesmo, pois o IDSM não se responsabiliza por danos causados no transporte.</w:t>
      </w:r>
    </w:p>
    <w:p w:rsidR="00D05B03" w:rsidRDefault="00E86C67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10.4 - Juntamente com o objeto deverá ser entregue a respectiva Nota Fiscal, a qual deverá conter a descrição do item.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10.5- Após instal</w:t>
      </w:r>
      <w:r>
        <w:rPr>
          <w:rFonts w:ascii="Arial" w:hAnsi="Arial" w:cs="Arial"/>
          <w:sz w:val="24"/>
          <w:szCs w:val="24"/>
        </w:rPr>
        <w:t>ação será verificado, pela Coordenação de Infraestrutura e Logística, o funcionamento de cada equipamento, e somente depois desta verificação será confirmado o recebimento definitivo do objeto, com o atesto na nota fiscal e posterior encaminhamento a Coord</w:t>
      </w:r>
      <w:r>
        <w:rPr>
          <w:rFonts w:ascii="Arial" w:hAnsi="Arial" w:cs="Arial"/>
          <w:sz w:val="24"/>
          <w:szCs w:val="24"/>
        </w:rPr>
        <w:t>enação de Compras que solicitará o pagamento imediato.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10.6- O recebimento do objeto não exime a contratada da responsabilidade civil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pela</w:t>
      </w:r>
      <w:proofErr w:type="gramEnd"/>
      <w:r>
        <w:rPr>
          <w:rFonts w:ascii="Arial" w:hAnsi="Arial" w:cs="Arial"/>
          <w:sz w:val="24"/>
          <w:szCs w:val="24"/>
        </w:rPr>
        <w:t xml:space="preserve"> solidez, segurança e funcionamento do objeto fornecido.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– PAGAMENTO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11.1- O pagamento será efetuado em até 05 </w:t>
      </w:r>
      <w:r>
        <w:rPr>
          <w:rFonts w:ascii="Arial" w:hAnsi="Arial" w:cs="Arial"/>
          <w:sz w:val="24"/>
          <w:szCs w:val="24"/>
        </w:rPr>
        <w:t>(cinco) dias após a entrega com a devida instalação do objeto deste Edital, e mediante apresentação do respectivo documento de cobrança pela adjudicatária atestado pela Coordenação de Infraestrutura e Logística – CIL do IDSM.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– PENALIDADES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12.1- A recu</w:t>
      </w:r>
      <w:r>
        <w:rPr>
          <w:rFonts w:ascii="Arial" w:hAnsi="Arial" w:cs="Arial"/>
          <w:sz w:val="24"/>
          <w:szCs w:val="24"/>
        </w:rPr>
        <w:t xml:space="preserve">sa injustificada da adjudicatária em assinar o contrato, aceitar ou retirar o instrumento equivalente, dentro do prazo estabelecido pelo IDSM, caracteriza o descumprimento total da obrigação assumida, sujeitando-o às penalidades previstas na lei 8.666/93. 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13 - RECURSOS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13.1- Dos atos praticados pela Comissão de Licitação cabem recursos no prazo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(cinco) dias úteis, contados da intimação do ato ou da lavratura da ata, nos seguintes casos: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Da decisão da Comissão de Licitação relativa à habilitação;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Da decisão da Comissão de Licitação relativa aos julgamentos das propostas.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13.2- Os recursos e a representação serão dirigidos à autoridade superior por intermédio da que praticou o ato ocorrido, que poderá reconsiderá-lo em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(cinco) dias úteis, ou n</w:t>
      </w:r>
      <w:r>
        <w:rPr>
          <w:rFonts w:ascii="Arial" w:hAnsi="Arial" w:cs="Arial"/>
          <w:sz w:val="24"/>
          <w:szCs w:val="24"/>
        </w:rPr>
        <w:t>esse mesmo prazo, encaminhá-lo devidamente informado para decisão definitiva.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13.3- Interposto o recurso, este será comunicado aos demais licitantes, que poderão impugná-lo no prazo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(cinco) dias úteis.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13.4- Os recursos interpostos fora do prazo, não </w:t>
      </w:r>
      <w:r>
        <w:rPr>
          <w:rFonts w:ascii="Arial" w:hAnsi="Arial" w:cs="Arial"/>
          <w:sz w:val="24"/>
          <w:szCs w:val="24"/>
        </w:rPr>
        <w:t>serão apreciados pela Comissão de Licitação.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 – REVOGAÇÃO E ANULAÇÃO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14.1- A Direção do IDSM reserva-se ao direito de: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- Revogar </w:t>
      </w:r>
      <w:proofErr w:type="gramStart"/>
      <w:r>
        <w:rPr>
          <w:rFonts w:ascii="Arial" w:hAnsi="Arial" w:cs="Arial"/>
          <w:sz w:val="24"/>
          <w:szCs w:val="24"/>
        </w:rPr>
        <w:t>a licitação por interesse público, devidamente justificado</w:t>
      </w:r>
      <w:proofErr w:type="gramEnd"/>
      <w:r>
        <w:rPr>
          <w:rFonts w:ascii="Arial" w:hAnsi="Arial" w:cs="Arial"/>
          <w:sz w:val="24"/>
          <w:szCs w:val="24"/>
        </w:rPr>
        <w:t>, conforme o Artigo 49 da Lei 8.666/93 e alterações;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- Anul</w:t>
      </w:r>
      <w:r>
        <w:rPr>
          <w:rFonts w:ascii="Arial" w:hAnsi="Arial" w:cs="Arial"/>
          <w:sz w:val="24"/>
          <w:szCs w:val="24"/>
        </w:rPr>
        <w:t>ar obrigatoriamente a licitação por ilegalidade, de ofício ou mediante provocação de terceiros, nos termos do Artigo 49 da Lei 8.666/93 e alterações.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14.2- A anulação do Procedimento Licitatório não gera obrigação de indenizar, ressalvado o disposto no Par</w:t>
      </w:r>
      <w:r>
        <w:rPr>
          <w:rFonts w:ascii="Arial" w:hAnsi="Arial" w:cs="Arial"/>
          <w:sz w:val="24"/>
          <w:szCs w:val="24"/>
        </w:rPr>
        <w:t>ágrafo Único do Artigo 59 da Lei 8.666/93 e alterações.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D05B03" w:rsidRDefault="00E86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15 - CONSIDERAÇÕES FINAIS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15.1- A abertura dos envelopes “Habilitação” e “Proposta Comercial” </w:t>
      </w:r>
      <w:proofErr w:type="gramStart"/>
      <w:r>
        <w:rPr>
          <w:rFonts w:ascii="Arial" w:hAnsi="Arial" w:cs="Arial"/>
          <w:sz w:val="24"/>
          <w:szCs w:val="24"/>
        </w:rPr>
        <w:t>será</w:t>
      </w:r>
      <w:proofErr w:type="gramEnd"/>
      <w:r>
        <w:rPr>
          <w:rFonts w:ascii="Arial" w:hAnsi="Arial" w:cs="Arial"/>
          <w:sz w:val="24"/>
          <w:szCs w:val="24"/>
        </w:rPr>
        <w:t xml:space="preserve"> feita no horário determinado, independente da presença dos licitantes.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15.2- Não havendo impugnação </w:t>
      </w:r>
      <w:r>
        <w:rPr>
          <w:rFonts w:ascii="Arial" w:hAnsi="Arial" w:cs="Arial"/>
          <w:sz w:val="24"/>
          <w:szCs w:val="24"/>
        </w:rPr>
        <w:t>das licitantes, o IDSM considerará aceito, por elas, todos os termos e condições deste Edital. Qualquer alegação posterior não terá efeito de recurso perante o IDSM.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15.3- A licitante, por seus responsáveis responderá pela fidelidade e legitimidade das inf</w:t>
      </w:r>
      <w:r>
        <w:rPr>
          <w:rFonts w:ascii="Arial" w:hAnsi="Arial" w:cs="Arial"/>
          <w:sz w:val="24"/>
          <w:szCs w:val="24"/>
        </w:rPr>
        <w:t>ormações dos documentos apresentados em qualquer fase desta licitação.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15.4- É facultada a presença do representante legal da licitante.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15.5- No caso de empate entre duas ou mais licitantes, a classificação se fará obrigatoriamente por sorteio, em ato púb</w:t>
      </w:r>
      <w:r>
        <w:rPr>
          <w:rFonts w:ascii="Arial" w:hAnsi="Arial" w:cs="Arial"/>
          <w:sz w:val="24"/>
          <w:szCs w:val="24"/>
        </w:rPr>
        <w:t>lico, para o qual todas as licitantes serão convocadas, vedado qualquer outro processo de escolha.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15.6- O envelope nº 2 da licitante não habilitada será devolvido a esta, mediante protocolo, devidamente lacrado.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15.7- Será facultada à Comissão de Licitaçã</w:t>
      </w:r>
      <w:r>
        <w:rPr>
          <w:rFonts w:ascii="Arial" w:hAnsi="Arial" w:cs="Arial"/>
          <w:sz w:val="24"/>
          <w:szCs w:val="24"/>
        </w:rPr>
        <w:t>o, em qualquer fase do julgamento, promover diligência destinada a esclarecer ou completar a instrução do processo, vedada a juntada de documentos não apresentados no momento devido.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15.8- A apresentação da Proposta Comercial significa que a licitante ates</w:t>
      </w:r>
      <w:r>
        <w:rPr>
          <w:rFonts w:ascii="Arial" w:hAnsi="Arial" w:cs="Arial"/>
          <w:sz w:val="24"/>
          <w:szCs w:val="24"/>
        </w:rPr>
        <w:t>ta que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há fato superveniente impeditivo de sua participação na licitação, assim como implica na aceitação tácita de todas as condições estipuladas neste Edital.</w:t>
      </w:r>
    </w:p>
    <w:p w:rsidR="00D05B03" w:rsidRDefault="00E86C67">
      <w:pPr>
        <w:spacing w:after="0" w:line="240" w:lineRule="auto"/>
        <w:ind w:right="-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15.9 - Se a licitante for executar o contrato por seu estabelecimento matriz, todos os </w:t>
      </w:r>
      <w:r>
        <w:rPr>
          <w:rFonts w:ascii="Arial" w:hAnsi="Arial" w:cs="Arial"/>
          <w:color w:val="000000"/>
          <w:sz w:val="24"/>
          <w:szCs w:val="24"/>
        </w:rPr>
        <w:t>documentos de habilitação deverão estar em nome da matriz; se a licitante for executar o contrato por estabelecimento filial, todos os documentos deverão estar em nome de tal estabelecimento, exceto aqueles documentos que, pela própria natureza, comprovada</w:t>
      </w:r>
      <w:r>
        <w:rPr>
          <w:rFonts w:ascii="Arial" w:hAnsi="Arial" w:cs="Arial"/>
          <w:color w:val="000000"/>
          <w:sz w:val="24"/>
          <w:szCs w:val="24"/>
        </w:rPr>
        <w:t>mente, forem emitidos somente em nome da matriz.</w:t>
      </w:r>
    </w:p>
    <w:p w:rsidR="00D05B03" w:rsidRDefault="00E86C67">
      <w:pPr>
        <w:spacing w:after="0" w:line="240" w:lineRule="auto"/>
        <w:ind w:right="-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15.10 - Não serão aceitos protocolos de entrega ou solicitação de documento em substituição aos documentos requeridos no presente Edital e seus Anexos. </w:t>
      </w:r>
    </w:p>
    <w:p w:rsidR="00D05B03" w:rsidRDefault="00E86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15.11- Fazem parte deste edital os anexos conforme aba</w:t>
      </w:r>
      <w:r>
        <w:rPr>
          <w:rFonts w:ascii="Arial" w:hAnsi="Arial" w:cs="Arial"/>
          <w:sz w:val="24"/>
          <w:szCs w:val="24"/>
        </w:rPr>
        <w:t>ixo:</w:t>
      </w:r>
    </w:p>
    <w:p w:rsidR="00D05B03" w:rsidRDefault="00E86C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 – Termo de Referência e Planilhas de Custo;</w:t>
      </w:r>
    </w:p>
    <w:p w:rsidR="00D05B03" w:rsidRDefault="00E86C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 – Termos de Vistoria;</w:t>
      </w:r>
    </w:p>
    <w:p w:rsidR="00D05B03" w:rsidRDefault="00E86C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 – Declaração de Fatos Impeditivos;</w:t>
      </w:r>
    </w:p>
    <w:p w:rsidR="00D05B03" w:rsidRDefault="00E86C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 – Declaração de Menor Trabalhador;</w:t>
      </w:r>
    </w:p>
    <w:p w:rsidR="00D05B03" w:rsidRDefault="00E86C6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 – Minuta de Contrato.</w:t>
      </w:r>
    </w:p>
    <w:p w:rsidR="00D05B03" w:rsidRDefault="00D05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B03" w:rsidRDefault="00D05B0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05B03" w:rsidRDefault="00E86C6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Tefé/AM, 23 de abril de 2013.</w:t>
      </w:r>
    </w:p>
    <w:p w:rsidR="00D05B03" w:rsidRDefault="00D05B0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05B03" w:rsidRDefault="00E86C67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Hellen Priscila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 Souza Rodrigues</w:t>
      </w:r>
    </w:p>
    <w:p w:rsidR="00D05B03" w:rsidRDefault="00E86C67">
      <w:pPr>
        <w:spacing w:after="0" w:line="240" w:lineRule="auto"/>
        <w:jc w:val="center"/>
      </w:pPr>
      <w:r>
        <w:rPr>
          <w:rFonts w:ascii="Arial" w:hAnsi="Arial" w:cs="Arial"/>
          <w:bCs/>
          <w:iCs/>
          <w:sz w:val="24"/>
          <w:szCs w:val="24"/>
        </w:rPr>
        <w:t>Presidente da Comissão de Licitação do IDSM</w:t>
      </w:r>
    </w:p>
    <w:p w:rsidR="00D05B03" w:rsidRDefault="00D05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5B03" w:rsidRDefault="00D05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05B03" w:rsidSect="00D05B03">
      <w:headerReference w:type="default" r:id="rId12"/>
      <w:footerReference w:type="default" r:id="rId13"/>
      <w:pgSz w:w="11906" w:h="16838"/>
      <w:pgMar w:top="1418" w:right="1701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67" w:rsidRDefault="00E86C67" w:rsidP="00D05B03">
      <w:pPr>
        <w:spacing w:after="0" w:line="240" w:lineRule="auto"/>
      </w:pPr>
      <w:r>
        <w:separator/>
      </w:r>
    </w:p>
  </w:endnote>
  <w:endnote w:type="continuationSeparator" w:id="0">
    <w:p w:rsidR="00E86C67" w:rsidRDefault="00E86C67" w:rsidP="00D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03" w:rsidRDefault="00D05B03">
    <w:pPr>
      <w:pStyle w:val="Rodap"/>
      <w:pBdr>
        <w:bottom w:val="single" w:sz="12" w:space="0" w:color="000000"/>
      </w:pBdr>
      <w:tabs>
        <w:tab w:val="clear" w:pos="8504"/>
        <w:tab w:val="right" w:pos="9356"/>
      </w:tabs>
      <w:ind w:left="-1134" w:right="-852"/>
      <w:rPr>
        <w:lang w:eastAsia="pt-BR"/>
      </w:rPr>
    </w:pPr>
  </w:p>
  <w:p w:rsidR="00D05B03" w:rsidRDefault="00D05B03">
    <w:pPr>
      <w:pStyle w:val="Rodap"/>
      <w:tabs>
        <w:tab w:val="clear" w:pos="8504"/>
        <w:tab w:val="right" w:pos="9356"/>
      </w:tabs>
      <w:ind w:left="-1134" w:right="-852"/>
      <w:jc w:val="center"/>
    </w:pPr>
    <w:r>
      <w:rPr>
        <w:sz w:val="16"/>
        <w:szCs w:val="16"/>
        <w:lang w:eastAsia="pt-BR"/>
      </w:rPr>
      <w:t xml:space="preserve">Estrada </w:t>
    </w:r>
    <w:proofErr w:type="gramStart"/>
    <w:r>
      <w:rPr>
        <w:sz w:val="16"/>
        <w:szCs w:val="16"/>
        <w:lang w:eastAsia="pt-BR"/>
      </w:rPr>
      <w:t>do Bexiga</w:t>
    </w:r>
    <w:proofErr w:type="gramEnd"/>
    <w:r>
      <w:rPr>
        <w:sz w:val="16"/>
        <w:szCs w:val="16"/>
        <w:lang w:eastAsia="pt-BR"/>
      </w:rPr>
      <w:t xml:space="preserve">, 2.584 – Fonte Boa – </w:t>
    </w:r>
    <w:proofErr w:type="spellStart"/>
    <w:r>
      <w:rPr>
        <w:sz w:val="16"/>
        <w:szCs w:val="16"/>
        <w:lang w:eastAsia="pt-BR"/>
      </w:rPr>
      <w:t>Tel</w:t>
    </w:r>
    <w:proofErr w:type="spellEnd"/>
    <w:r>
      <w:rPr>
        <w:sz w:val="16"/>
        <w:szCs w:val="16"/>
        <w:lang w:eastAsia="pt-BR"/>
      </w:rPr>
      <w:t xml:space="preserve">/fax: +55 (97) 3343-9719 – C.P 38 – 69470-000 – Tefé (AM) – </w:t>
    </w:r>
    <w:hyperlink r:id="rId1" w:history="1">
      <w:r>
        <w:rPr>
          <w:rStyle w:val="Hyperlink"/>
          <w:sz w:val="16"/>
          <w:szCs w:val="16"/>
          <w:lang w:eastAsia="pt-BR"/>
        </w:rPr>
        <w:t>www.mamiraua.org.br</w:t>
      </w:r>
    </w:hyperlink>
    <w:r>
      <w:rPr>
        <w:sz w:val="16"/>
        <w:szCs w:val="16"/>
        <w:lang w:eastAsia="pt-BR"/>
      </w:rPr>
      <w:t xml:space="preserve"> – </w:t>
    </w:r>
    <w:hyperlink r:id="rId2" w:history="1">
      <w:r>
        <w:rPr>
          <w:rStyle w:val="Hyperlink"/>
          <w:sz w:val="16"/>
          <w:szCs w:val="16"/>
          <w:lang w:eastAsia="pt-BR"/>
        </w:rPr>
        <w:t>compras@mamiraua.org.br</w:t>
      </w:r>
    </w:hyperlink>
    <w:r>
      <w:rPr>
        <w:sz w:val="16"/>
        <w:szCs w:val="16"/>
        <w:lang w:eastAsia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67" w:rsidRDefault="00E86C67" w:rsidP="00D05B03">
      <w:pPr>
        <w:spacing w:after="0" w:line="240" w:lineRule="auto"/>
      </w:pPr>
      <w:r w:rsidRPr="00D05B03">
        <w:rPr>
          <w:color w:val="000000"/>
        </w:rPr>
        <w:separator/>
      </w:r>
    </w:p>
  </w:footnote>
  <w:footnote w:type="continuationSeparator" w:id="0">
    <w:p w:rsidR="00E86C67" w:rsidRDefault="00E86C67" w:rsidP="00D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03" w:rsidRDefault="00D05B03">
    <w:pPr>
      <w:pStyle w:val="Cabealho"/>
      <w:tabs>
        <w:tab w:val="clear" w:pos="8504"/>
        <w:tab w:val="right" w:pos="9356"/>
      </w:tabs>
      <w:ind w:left="-1134" w:right="-852"/>
      <w:jc w:val="center"/>
    </w:pPr>
    <w:r>
      <w:rPr>
        <w:noProof/>
        <w:lang w:eastAsia="pt-BR"/>
      </w:rPr>
      <w:drawing>
        <wp:inline distT="0" distB="0" distL="0" distR="0">
          <wp:extent cx="5840099" cy="474345"/>
          <wp:effectExtent l="0" t="0" r="0" b="0"/>
          <wp:docPr id="1" name="Imagem 1" descr="Mamirauá e GF vertical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0099" cy="4743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05B03" w:rsidRDefault="00D05B03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BF5"/>
    <w:multiLevelType w:val="multilevel"/>
    <w:tmpl w:val="9260D5A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03"/>
    <w:rsid w:val="00344EFB"/>
    <w:rsid w:val="00D05B03"/>
    <w:rsid w:val="00E8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5B03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D05B03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5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D05B03"/>
  </w:style>
  <w:style w:type="paragraph" w:styleId="Rodap">
    <w:name w:val="footer"/>
    <w:basedOn w:val="Normal"/>
    <w:rsid w:val="00D05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D05B03"/>
  </w:style>
  <w:style w:type="paragraph" w:styleId="Textodebalo">
    <w:name w:val="Balloon Text"/>
    <w:basedOn w:val="Normal"/>
    <w:rsid w:val="00D0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D05B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05B03"/>
    <w:rPr>
      <w:color w:val="0000FF"/>
      <w:u w:val="single"/>
    </w:rPr>
  </w:style>
  <w:style w:type="paragraph" w:customStyle="1" w:styleId="helptexto">
    <w:name w:val="help_texto"/>
    <w:basedOn w:val="Normal"/>
    <w:rsid w:val="00D05B0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sid w:val="00D05B03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basedOn w:val="Normal"/>
    <w:rsid w:val="00D05B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customStyle="1" w:styleId="CorpodetextoChar">
    <w:name w:val="Corpo de texto Char"/>
    <w:basedOn w:val="Fontepargpadro"/>
    <w:rsid w:val="00D05B03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rsid w:val="00D05B03"/>
    <w:pPr>
      <w:spacing w:after="0" w:line="240" w:lineRule="auto"/>
      <w:ind w:firstLine="2835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rsid w:val="00D05B03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rsid w:val="00D05B03"/>
    <w:rPr>
      <w:i/>
      <w:iCs/>
    </w:rPr>
  </w:style>
  <w:style w:type="paragraph" w:styleId="Ttulo">
    <w:name w:val="Title"/>
    <w:basedOn w:val="Normal"/>
    <w:rsid w:val="00D05B03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D05B03"/>
    <w:rPr>
      <w:rFonts w:ascii="Verdana" w:eastAsia="Times New Roman" w:hAnsi="Verdana"/>
      <w:b/>
      <w:bCs/>
    </w:rPr>
  </w:style>
  <w:style w:type="character" w:customStyle="1" w:styleId="apple-converted-space">
    <w:name w:val="apple-converted-space"/>
    <w:basedOn w:val="Fontepargpadro"/>
    <w:rsid w:val="00D05B03"/>
  </w:style>
  <w:style w:type="character" w:styleId="Refdecomentrio">
    <w:name w:val="annotation reference"/>
    <w:basedOn w:val="Fontepargpadro"/>
    <w:rsid w:val="00D05B03"/>
    <w:rPr>
      <w:sz w:val="16"/>
      <w:szCs w:val="16"/>
    </w:rPr>
  </w:style>
  <w:style w:type="paragraph" w:styleId="Textodecomentrio">
    <w:name w:val="annotation text"/>
    <w:basedOn w:val="Normal"/>
    <w:rsid w:val="00D05B03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D05B03"/>
    <w:rPr>
      <w:lang w:eastAsia="en-US"/>
    </w:rPr>
  </w:style>
  <w:style w:type="paragraph" w:styleId="Assuntodocomentrio">
    <w:name w:val="annotation subject"/>
    <w:basedOn w:val="Textodecomentrio"/>
    <w:next w:val="Textodecomentrio"/>
    <w:rsid w:val="00D05B03"/>
    <w:rPr>
      <w:b/>
      <w:bCs/>
    </w:rPr>
  </w:style>
  <w:style w:type="character" w:customStyle="1" w:styleId="AssuntodocomentrioChar">
    <w:name w:val="Assunto do comentário Char"/>
    <w:basedOn w:val="TextodecomentrioChar"/>
    <w:rsid w:val="00D05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mamiraua.org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miraua.org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as@mamiraua.org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citacoes@mamiraua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@mamiraua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2875</Words>
  <Characters>15525</Characters>
  <Application>Microsoft Office Word</Application>
  <DocSecurity>0</DocSecurity>
  <Lines>129</Lines>
  <Paragraphs>36</Paragraphs>
  <ScaleCrop>false</ScaleCrop>
  <Company>IDSM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gleyson</cp:lastModifiedBy>
  <cp:revision>2</cp:revision>
  <cp:lastPrinted>2012-10-19T17:57:00Z</cp:lastPrinted>
  <dcterms:created xsi:type="dcterms:W3CDTF">2013-04-25T18:12:00Z</dcterms:created>
  <dcterms:modified xsi:type="dcterms:W3CDTF">2013-04-25T18:12:00Z</dcterms:modified>
</cp:coreProperties>
</file>